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rPr>
          <w:b/>
        </w:rPr>
        <w:t xml:space="preserve">Activates After (Rollout Dependency). </w:t>
      </w:r>
      <w:r>
        <w:t>Under the platform's phased, gated rollout (Architectural Decision Principles, v3.7.558), this pillar belongs to the extension phase. It is sequenced to activate after the core universal-coverage pillars (healthcare, childcare, mental health, paid family time, and long-term care) are operating stably, rather than switching on simultaneously with every other pillar. [CORRECTED v3.8.348: THIS PILLAR IS THE EXCEPTION TO THAT SENTENCE, and the exception matters. The fund SEEDS AT BIRTH and first disburses eighteen years later, so delay does not postpone it -- it excludes permanently. Starting the seeding at year six, when the core pillars are running stably, would leave every child born in years one to five outside the pillar for life, on top of the transition cohorts this document already addresses. THE FUND THEREFORE SEEDS FROM YEAR ONE while its disbursements begin at year eighteen; what is sequenced after the core pillars is the DISBURSEMENT machinery, not the seeding. Recorded as ASSUM-edu-seeding-start and modelled that way in tools/pillar_rampup_model.py.] The specific stability gates that would authorize the move from coverage into extensions are not asserted here; they require macroeconomic and actuarial calibration and are tracked as the open question GUARD-1 in the Tracked Issues Registry. This sequencing is a design proposal the author can reorder, not a fixed schedule, and the ordering among the extension pillars may be revised as that calibration matures.</w:t>
      </w:r>
    </w:p>
    <w:p>
      <w:pPr>
        <w:pStyle w:val="Heading1"/>
      </w:pPr>
      <w:r>
        <w:t>Pillar Three: The Sovereign Education Fund — Substantiation</w:t>
      </w:r>
    </w:p>
    <w:p>
      <w:r>
        <w:t>v1.0  ·  Created May 10, 2026 for v3.7.14  ·  Pillar Three substantiation document · content last changed v3.8.348</w:t>
      </w:r>
    </w:p>
    <w:p>
      <w:r>
        <w:t>Sources Baseline. Numerical claims in this document derive from the canonical sources cataloged in the Sources and Derivation Convention document. Cost estimates are training-era approximations; actuarial validation is identified as a Section 47 OPEN item.</w:t>
      </w:r>
    </w:p>
    <w:p>
      <w:pPr>
        <w:pStyle w:val="Heading2"/>
      </w:pPr>
      <w:r>
        <w:t>Purpose</w:t>
      </w:r>
    </w:p>
    <w:p>
      <w:r>
        <w:t>This document substantiates Pillar Three (the Sovereign Education Fund) at the level of architectural detail needed for external review. It extends and refines the Pillar Three description in the master platform document with the design choices established in v3.7.14: a no-cap academic-performance-based architecture; tuition-plus-stipend coverage through doctoral programs; curriculum-approval through a job-field-backward framework with general-education preservation; credit-transfer with substance-of-content test; a student-support intervention architecture with federally-trained on-campus liaisons; and the counselor workforce pipeline required to implement the support architecture at scale. Substantiation here means: stating the architectural commitment, identifying the cost implications, naming the external expertise required to validate or implement specific design choices, and connecting the pillar's mechanisms to the rest of the platform's architecture.</w:t>
      </w:r>
    </w:p>
    <w:p>
      <w:pPr>
        <w:pStyle w:val="Heading2"/>
      </w:pPr>
      <w:r>
        <w:t>Historical Precedent: The GI Bill</w:t>
      </w:r>
    </w:p>
    <w:p>
      <w:pPr/>
      <w:r>
        <w:t>The architectural logic underlying the Sovereign Education Fund has direct American precedent in the Servicemen's Readjustment Act of 1944 — the GI Bill — which made federally-funded higher education accessible to 7.8 million returning World War II veterans. Economists estimate every dollar of GI Bill education funding generated approximately seven dollars in returns to the U.S. economy through increased lifetime earnings, tax contributions, and educational attainment effects across subsequent generations. Children and grandchildren of GI Bill recipients pursued higher education at substantially higher rates than would have occurred without the original federal investment, compounding the transfer across generations.</w:t>
      </w:r>
    </w:p>
    <w:p>
      <w:pPr/>
      <w:r>
        <w:t>The Sovereign Education Fund extends and universalizes this architectural logic. Where the GI Bill was time-bounded (eligibility tied to military service in a specific conflict) and primarily undergraduate, Pillar Three is permanent in capitalization, universal in eligibility, and structured to cover vocational through doctoral pathways. The platform stands in that tradition while extending the horizon of inclusion and time.</w:t>
      </w:r>
    </w:p>
    <w:p>
      <w:pPr>
        <w:pStyle w:val="Heading2"/>
      </w:pPr>
      <w:r>
        <w:t>Education Welcomed and Encouraged</w:t>
      </w:r>
    </w:p>
    <w:p>
      <w:r>
        <w:t>The core architectural commitment of Pillar Three is captured in a single proposition: education is welcomed and encouraged, not limited. The pillar does not ration education by credit budget, by number of fields pursued, by number of credentials sought, or by major-switch count. Citizens may pursue one field or many; one credential or several; vocational training or doctoral study. The only constraints on continued funding are two: academic performance (the student is passing) and age (the funding window closes at age thirty). The architectural choice not to cap pursuit is deliberate. Most citizens do not want indefinite schooling; the natural ceiling is biological, social, and motivational. The marginal population-level cost of removing the cap is small. The values signal of removing it is substantial. A society that welcomes its citizens' learning produces different citizens than a society that rations it.</w:t>
      </w:r>
    </w:p>
    <w:p>
      <w:r>
        <w:t>The academic-performance constraint serves as the primary cost-control mechanism. Funding continues as long as the student is passing the standards of the program they are pursuing. Failing students lose continued funding for that specific pursuit; they retain the ability to pivot to another field where they may succeed. The platform's architecture pairs this constraint with an institutional obligation to attempt intervention when a student is struggling (described in the Student-Support Intervention Architecture section below); the platform's intent is not to abandon struggling students but to help them succeed, and only when intervention does not produce success does the academic-performance constraint cut off funding for the specific failing pursuit.</w:t>
      </w:r>
    </w:p>
    <w:p>
      <w:r>
        <w:t>The age-thirty funding window provides the time bound. From age seventeen to thirty is thirteen years. [CORRECTED v3.8.268: this sentence read eighteen and twelve. The window is stated as seventeen to thirty in this document's own age-thirty section and in the master vision document, and thirteen years is the span that section uses -- 'THIRTEEN YEARS, THEN NOTHING'.] The longest possible sequential path within this window is bachelor's plus master's plus doctoral study (roughly four plus two plus four to six years), which fits only for students who proceed efficiently. Most citizens pursue substantially less. The age-thirty boundary exists for a reason consistent with the platform's broader architecture: post-thirty learning is a different category (continuing education, professional development, mid-career transitions) that the platform's other pillars address through different mechanisms.</w:t>
      </w:r>
    </w:p>
    <w:p>
      <w:r>
        <w:t>Edge case: doctoral students whose programs extend past the age-thirty boundary are grandfathered through completion provided they entered the program before age thirty and are making satisfactory progress as defined by their institution. A student who enters a six-year doctoral program at age twenty-eight remains funded through year thirty-four; the funding does not abruptly stop at the age-thirty calendar marker. Students who enter doctoral programs at age thirty or later are outside the Pillar Three funding window and rely on existing pathways (employer support, departmental grants, personal financing). (Edge-case clarification added in v3.7.195 via SITE-36 Pillar 3 review.)</w:t>
      </w:r>
    </w:p>
    <w:p>
      <w:pPr>
        <w:pStyle w:val="Heading2"/>
      </w:pPr>
      <w:r>
        <w:t>Funding Mechanism</w:t>
      </w:r>
    </w:p>
    <w:p>
      <w:r>
        <w:t>The Pillar Three funding architecture, established in earlier iterations, combines three sources: birth-seed contributions to the Sovereign Education Fund (ten thousand dollars at birth per citizen, pooled rather than individual) [RESTATED v3.8.348: this read five thousand dollars. The seed was RAISED to $10,000 at v3.8.270 (ASSUM-edu-birth-seed) because $5,000 left the pillar short for decades]; annual disbursements from the Sovereign Fund (1.2 percent of fund balance per year, scaled to the cohort served) [RECONCILED v3.8.292: the canonical rate is 1.2 percent, the operative parameter in the education model's Assumptions C16, with a sourced sensitivity range of 0.5 to 3.0 percent. The '0.5 percent' recorded elsewhere as a competing value is THE LOW END OF THAT RANGE, and the workbook README that was said to state it was corrected at v3.8.55. '~1 percent' is a rounding of 1.2.]; and payroll-based contributions through the Pillar One Community Contribution Plan (a portion of the contribution flow allocated to Pillar Three). The cost-based pricing framework constrains what participating institutions can charge: institutions price at or below the cost-based baseline calculated for their type and field of study; pricing above the baseline forfeits eligibility for the Sovereign Education Fund.</w:t>
      </w:r>
    </w:p>
    <w:p>
      <w:r>
        <w:t>Disambiguation note: the Sovereign Education Fund (this pillar) and the Sovereign Investment Fund (Pillar 1, Community Contribution Plan) are two distinct financial vehicles with separate governance, funding sources, and disbursement rules. The Sovereign Education Fund receives the birth-seed contributions and is dedicated to education spending. The Sovereign Investment Fund receives a portion of payroll contributions and is dedicated to offsetting the transition deficit of the retirement system. Where this document refers to the Sovereign Fund without qualifier, context indicates which is meant; for clarity in cross-document reading, the full name is preferred. (Disambiguation note added in v3.7.195 via SITE-36 Pillar 3 review.)</w:t>
      </w:r>
    </w:p>
    <w:p>
      <w:r>
        <w:t>v3.7.14 extends the funding architecture to cover doctoral programs (tuition and living stipend), eliminating the existing per-person credit cap that previously bounded what the Fund would cover. The cost increment for this extension is documented in the Cost Estimates section below. The funding-mechanism architecture itself does not change: the same three sources (birth-seed, Sovereign Fund disbursements, payroll contribution) cover the expanded scope; the cost-based pricing framework continues to constrain institutional charges.</w:t>
      </w:r>
    </w:p>
    <w:p>
      <w:pPr>
        <w:pStyle w:val="Heading2"/>
      </w:pPr>
      <w:r>
        <w:t>Curriculum-Approval Architecture</w:t>
      </w:r>
    </w:p>
    <w:p>
      <w:r>
        <w:t>Institutions participating in the Sovereign Education Fund must have approved curricula for each program of study they offer. The curriculum-approval framework operates on three principles. First, curricula are built backwards from defined job fields: the curriculum-approval body identifies the competencies and tasks required for jobs in a defined field (drawing on BLS Standard Occupational Classification codes, industry advisory input, and field-specific accreditation standards), and the institution's curriculum must demonstrate coverage of those competencies. Second, general-education content is preserved alongside field-specific competency requirements: the curriculum must include broadly-applicable content (writing, mathematical literacy, scientific literacy, civic literacy, critical reasoning) that is not tightly tied to a specific job field. Third, exploration paths are explicitly valid: a student may pursue an exploration-focused first year before committing to a field-aligned curriculum, and liberal-arts fields (philosophy, history, literature, mathematics, the basic sciences) are accepted as fields where the transferable analytical capacity is itself the job-relevant competency.</w:t>
      </w:r>
    </w:p>
    <w:p>
      <w:r>
        <w:t>Scope clarification on traditional academic disciplines: the job-field-backwards framing does not exclude liberal arts, humanities, fine arts, or basic sciences from Pillar Three coverage. These disciplines map to academic and research professions (teaching, research, criticism, creative practice, public scholarship, librarianship, archival work, museum curation, journalism, and adjacent knowledge professions) which constitute legitimate job fields for curriculum-approval purposes. The framing also explicitly preserves space for knowledge-for-its-own-sake study: a student pursuing philosophy without a specific professional target retains funding provided they are passing program standards. The platform's stance is that the United States benefits from citizens who are deeply educated in humanities and basic sciences regardless of whether they pursue those fields professionally; the job-field framing exists to anchor curriculum approval, not to constrain what students may study. (Scope clarification added in v3.7.195 via SITE-36 Pillar 3 review.)</w:t>
      </w:r>
    </w:p>
    <w:p>
      <w:r>
        <w:t>Curriculum approval is conducted by a body responsible for the Pillar Three architecture (likely the federal Pillar Three administrative agency, in coordination with field-specific accreditation bodies that already exist for engineering, medicine, law, nursing, and other fields). The approval criterion is competency coverage; the approval body does not specify how institutions teach the competencies, only that the approved competencies are covered. Content within the competency-coverage requirement remains the institution's decision, preserving academic freedom and institutional differentiation. Approved curricula are subject to periodic review (every three to five years) to capture emerging job fields and evolving competency requirements.</w:t>
      </w:r>
    </w:p>
    <w:p>
      <w:r>
        <w:t>Proof of comprehension and demonstrated ability to perform required tasks is a curriculum-approval requirement, not a single-test event. Institutions specify how each competency is assessed (examinations, project portfolios, capstone work, supervised practice), and approved assessment methods become part of the institution's approved curriculum. The platform does not impose a single standardized testing regime on all institutions or all programs; it requires that each institution's assessment methodology is approved as part of the curriculum-approval process.</w:t>
      </w:r>
    </w:p>
    <w:p>
      <w:pPr>
        <w:pStyle w:val="Heading2"/>
      </w:pPr>
      <w:r>
        <w:t>Doctoral Funding: Tuition Plus Stipends</w:t>
      </w:r>
    </w:p>
    <w:p>
      <w:r>
        <w:t>The Sovereign Education Fund covers tuition for doctoral programs (research doctorates and professional doctorates alike) within the age-thirty window. The Fund also provides living stipends during doctoral study, parallel to current research-assistantship and teaching-assistantship stipend levels. This is an architectural change from the prior US doctoral funding ecosystem, which has produced two distinct failure modes: research doctorates in well-funded fields (computational, biomedical, engineering disciplines) are mostly funded through federal research grants, but with intense competition, project-tied constraints, and substantial year-to-year uncertainty; research doctorates in underfunded fields (humanities, many social sciences) are often only partially funded; professional doctorates (MD, JD, DDS, PharmD) typically come with no funding and produce substantial debt burdens that distort career choice for decades.</w:t>
      </w:r>
    </w:p>
    <w:p>
      <w:r>
        <w:t>Replacing this with Fund-provided tuition and stipends addresses three problems simultaneously. First, it removes the funding-scramble that currently consumes substantial doctoral student time, allowing students to focus on actual research and learning. Second, it equalizes funding access across fields, removing the field-specific funding inequality that distorts which intellectual paths get pursued. Third, it eliminates the professional-doctorate debt burden that currently constrains career choice (a heavily-indebted medical-school graduate cannot freely choose to practice in an underserved rural area; a heavily-indebted law-school graduate cannot freely take low-paying public-interest work). All three are second-order benefits beyond the direct funding provision.</w:t>
      </w:r>
    </w:p>
    <w:p>
      <w:r>
        <w:t>Stipend amounts are set at the Pillar Two empirical wage floor for the occupation of educator-or-researcher-in-training at the geographic location of the institution. This applies the platform's existing architectural logic (occupation-based, geography-adjusted wage floors) to doctoral student stipends. The stipend recognizes doctoral study as work, which it is.</w:t>
      </w:r>
    </w:p>
    <w:p>
      <w:r>
        <w:t>The interaction with federal research grants requires explicit design. Research-doctorate students would no longer rely on grants for their livelihoods; grants would shift to funding research itself (equipment, materials, computing, conferences, faculty research time, undergraduate research, postdoctoral researchers). This change strengthens research capacity per grant dollar because student-livelihood costs no longer compete with research-cost line items. Federal research-grant agencies (NIH, NSF, DOE, DARPA, United States Department of Agriculture (USDA), others) would update their grant frameworks to reflect this; existing assistantship-based grant funding mechanisms would be repurposed. The transition is identified as PERSONA-SIG-12 in Section 47 because it requires research-grant ecosystem expertise to design.</w:t>
      </w:r>
    </w:p>
    <w:p>
      <w:pPr>
        <w:pStyle w:val="Heading2"/>
      </w:pPr>
      <w:r>
        <w:t>Credit-Transfer with Substance Test</w:t>
      </w:r>
    </w:p>
    <w:p>
      <w:r>
        <w:t>A student who pivots from one field to another retains credit for time spent on the original field where the content of that time is generally applicable to the destination field. The platform formalizes this as a two-rule framework. First, general-education credits transfer universally: the general-education content required of every approved curriculum is field-agnostic, and credits in this category are not lost on pivot. Second, field-specific credits transfer based on competency overlap: the curriculum-approval documentation specifies what competencies each course covers, and the destination field's curriculum-approval documentation specifies what competencies it requires; a course transfers if the covered competencies overlap with the destination requirements.</w:t>
      </w:r>
    </w:p>
    <w:p>
      <w:r>
        <w:t>This is the standard transfer-credit framework used in well-functioning US higher education, codified at the platform level. The platform's improvement over current practice is that the substance test is documented at the curriculum-approval level rather than negotiated case-by-case at transfer time. A computer science introductory course's approved competency coverage is documented; a pre-med program's required introductory-mathematics competency is documented; the overlap (logic, discrete reasoning) is documented; transfer happens automatically based on the documentation.</w:t>
      </w:r>
    </w:p>
    <w:p>
      <w:r>
        <w:t>No time penalty applies to pivots. A student who spends a year in pre-med then switches to philosophy keeps the general-education credits, retains any specific course credits that transfer based on substance, loses the field-specific science credits that do not transfer, and does not lose calendar time or face penalty against future funding within the age-thirty window. The architecture explicitly supports the pivot as part of normal educational development.</w:t>
      </w:r>
    </w:p>
    <w:p>
      <w:pPr>
        <w:pStyle w:val="Heading2"/>
      </w:pPr>
      <w:r>
        <w:t>Student-Support Intervention Architecture</w:t>
      </w:r>
    </w:p>
    <w:p>
      <w:r>
        <w:t>When a student is struggling academically, the institution is obligated to attempt intervention. The obligation is structural rather than aspirational: the institution receives Pillar Three funding contingent on operating a documented student-support architecture that meets specified standards. The architectural choice transforms the default from struggling-students-disappear to struggling-students-receive-support. The intent is to help every student succeed; the institution's obligation is to attempt that help.</w:t>
      </w:r>
    </w:p>
    <w:p>
      <w:r>
        <w:t>Struggling is detected through four signals operating in parallel. Grade-based triggers fire when a student's grade-point average drops below a threshold or when a specific course grade indicates risk of non-completion. Attendance-based triggers fire when a student misses class for two or more consecutive weeks. Faculty-flagged signals route through advisors when instructors observe concerns directly. Self-flagged signals open intervention pathways when students request support. Multi-signal detection is necessary because each signal catches different student situations: a student attending but not learning shows up in grades; a student doing well academically but personally struggling shows up in attendance; a student visibly distressed shows up in faculty observations; a student aware of their own struggle requests help directly.</w:t>
      </w:r>
    </w:p>
    <w:p>
      <w:r>
        <w:t>The intervention pathway has four lines. First-line intervention is conducted by the student's academic advisor: a conversation that identifies what is happening, what the student needs, and which resources can help. Second-line intervention is a warm hand-off to specialized resources: tutoring and learning support for content-mastery issues; mental-health counseling for emotional or psychological issues; disability services for learning-difference or accommodation needs; financial counseling for economic precarity; case management for personal or family issues that intersect education. Third-line intervention is case-manager coordination when multiple needs intersect: a student struggling with academics, mental health, and financial precarity simultaneously needs coordinated support rather than three separate referrals. Crisis intervention operates outside the pathway and is triggered immediately regardless of where the student is in the process when crisis indicators appear.</w:t>
      </w:r>
    </w:p>
    <w:p>
      <w:r>
        <w:t>Privacy and student autonomy are architectural protections. Intervention is offered, not imposed. Students may decline non-crisis interventions; only safety risks (imminent harm to self or others) override student declination. Records of interventions are kept separately from academic transcripts and do not become marks against the student. The intervention architecture exists to help the student succeed; it does not operate as a discipline or surveillance system.</w:t>
      </w:r>
    </w:p>
    <w:p>
      <w:pPr>
        <w:pStyle w:val="Heading2"/>
      </w:pPr>
      <w:r>
        <w:t>Counselor Workforce</w:t>
      </w:r>
    </w:p>
    <w:p>
      <w:r>
        <w:t>The student-support architecture requires substantial counselor staffing. Target ratios across support categories: academic advisors at one per three hundred students; mental-health counselors at one per seven hundred fifty students; disability-services specialists at one per fifteen hundred students; career counselors at one per one thousand students; case managers at one per five thousand students. Tutoring infrastructure operates through a mix of professional learning specialists and peer tutors with professional oversight. Crisis intervention is integrated with Pillar Six (Universal Mental Health Access) infrastructure rather than separately staffed at each institution.</w:t>
      </w:r>
    </w:p>
    <w:p>
      <w:r>
        <w:t>Applied to an expanded-access steady state of approximately eighteen million students, the counselor workforce requires roughly sixty thousand academic advisors, twenty-four thousand mental-health counselors, twelve thousand disability-services specialists, eighteen thousand career counselors, thirty-six hundred case managers, and a tutoring infrastructure equivalent to approximately fifteen thousand professional-tutor FTE plus peer-tutor capacity. Total student-support workforce: approximately one hundred thirty thousand FTE.</w:t>
      </w:r>
    </w:p>
    <w:p>
      <w:r>
        <w:t>The US does not currently produce one hundred thirty thousand trained student-support professionals annually, and current workforce levels are well below the platform's target ratios. The platform must build out the counselor workforce over a multi-year transition. The buildout itself uses Pillar Three funding: counselor-training programs are themselves approved curricula in Pillar Three, and counselor education becomes one of the job fields the platform's curriculum-approval framework explicitly supports. This closes a feedback loop: the platform's commitment to student support generates demand for counselors; the platform's education funding produces the supply of counselors. The transition timeline is identified as RESEARCH-16 in Section 47.</w:t>
      </w:r>
    </w:p>
    <w:p>
      <w:pPr>
        <w:pStyle w:val="Heading2"/>
      </w:pPr>
      <w:r>
        <w:t>Federal Liaison Program</w:t>
      </w:r>
    </w:p>
    <w:p>
      <w:r>
        <w:t>A federal liaison is assigned to each campus participating in the Sovereign Education Fund. The liaison is federally employed, trained on the platform's Pillar Three architecture (curriculum-approval framework, job-field pipeline, student-support standards, outcomes-tracking methodology), and physically on-campus with substantial integration into institutional operations. The liaison's role is to preserve consistency in the implementation of the Pillar Three architecture across the four thousand or more degree-granting institutions in the United States. Without on-campus federal presence, four thousand institutions would interpret and implement the architecture independently, and within a decade what is labeled the platform's education architecture would mean substantially different things at different schools.</w:t>
      </w:r>
    </w:p>
    <w:p>
      <w:r>
        <w:t>The liaison's authority is primarily advisory. The liaison helps institutions understand and implement the curriculum-approval framework, coordinates with field-specific accreditation bodies, surfaces emerging job fields that need curriculum updates, tracks outcomes data for the institution, provides a federal point of contact for the institution, and helps maintain consistency in the student-support architecture. The liaison has specific compliance functions where consistency is essential: verifying approved curricula are being taught faithfully, confirming counselor staffing meets ratios, and validating outcomes-data submission. The liaison does not direct course content beyond the approved-curriculum framework, does not have hiring authority over institutional staff, and does not override institutional academic decisions. The liaison is not a member of institutional administration; they sit alongside it.</w:t>
      </w:r>
    </w:p>
    <w:p>
      <w:r>
        <w:t>The liaison serves as a bidirectional channel. Federal programs flow through the liaison to institutional implementation; local institutional needs, innovations, and implementation problems flow through the liaison back to federal program design. The bidirectional design is what makes parallel programs (USDA Cooperative Extension agents at land-grant universities, VA education benefit liaisons, Title IX coordinators) durable: liaisons are valued by both their federal employer and their host institution because they serve genuine functions for both. The Pillar Three liaison would have the same dual value.</w:t>
      </w:r>
    </w:p>
    <w:p>
      <w:r>
        <w:t>Scope per campus scales with institutional size. Small institutions (fewer than five thousand students) share or have a part-time liaison. Medium institutions (five thousand to twenty-five thousand) have a full-time liaison. Large institutions (above twenty-five thousand) have a liaison team. Large state university systems have a system-level chief liaison plus campus-level liaisons. Total liaison workforce: approximately thirty-five hundred to four thousand FTE nationally. The Pillar Three administrative agency operates the training program (a federal program parallel to the Foreign Service Officer training model in structure) and the deployment program (multi-year campus assignments with rotation possible after five to seven years to prevent capture by institutional priorities). The liaison program design is identified as PERSONA-SIG-11 in Section 47.</w:t>
      </w:r>
    </w:p>
    <w:p>
      <w:pPr>
        <w:pStyle w:val="Heading2"/>
      </w:pPr>
      <w:r>
        <w:t>Cost Estimates and Financial Feasibility</w:t>
      </w:r>
    </w:p>
    <w:p>
      <w:r>
        <w:t>The platform's commitment to Pillar Three at the architecture described above is substantial. Approximate annual cost components at expanded-access steady state with eighteen million students, in current dollars, before completion-rate improvements:</w:t>
      </w:r>
    </w:p>
    <w:p>
      <w:r>
        <w:t>Undergraduate education (bachelor's and below) at cost-based pricing: approximately one hundred ten to one hundred forty billion dollars annually, depending on the share of expanded access taken up by community-college versus four-year tracks. Master's education at cost-based pricing: approximately fifteen to twenty-five billion dollars annually. Doctoral tuition coverage (research and professional doctorates): approximately ten to fifteen billion dollars annually. Doctoral living stipends at occupation-specific wage floors: approximately fifteen to twenty billion dollars annually. Student-support counselor workforce: approximately thirteen to fifteen billion dollars annually (excluding the mental-health portion, which is covered by Pillar Six). Federal liaison program: approximately five hundred to six hundred million dollars annually. Counselor-training pipeline (transition years): approximately two to three billion dollars annually for the first five to seven years, then steady-state replacement-level cost.</w:t>
      </w:r>
    </w:p>
    <w:p>
      <w:r>
        <w:t>Total Pillar Three commitment at steady state: approximately one hundred eighty to two hundred fifty billion dollars annually. As a share of the Sovereign Fund's expected returns at the one hundred twenty-two trillion dollar target (six percent real returns equals approximately seven point three trillion dollars annually): two and a half to three and a half percent. Comfortably within the Fund's expected output, with substantial margin for cost variation and for the payroll contribution to Pillar Three providing additional funding. At the four percent scenario where the Sovereign Fund reaches sixty-two and a half trillion dollars, Pillar Three is six to ten percent of fund returns; still affordable, with the payroll contribution providing additional margin.</w:t>
      </w:r>
    </w:p>
    <w:p>
      <w:r>
        <w:t>Net cost is substantially lower than gross cost because the student-support architecture produces completion-rate improvement. Current US four-year completion rates are approximately sixty percent. Research on intensive student support (the CUNY Accelerated Study in Associate Programs and related models) shows completion-rate improvements of fifteen to thirty percentage points when comprehensive support is provided. Applied to the platform: each non-completing student under the prior architecture represents wasted Fund spending (partial education that did not yield a credential or career capacity); reducing the non-completion rate captures that value. Higher completion produces higher lifetime earnings, which produces higher payroll-contribution returns to the Fund. Avoided repeat semesters and years save the Fund money directly. The net cost of the student-support architecture is plausibly negative; even on conservative assumptions, the gross cost is recovered substantially through completion improvement. This effect is identified as RESEARCH-15 in Section 47 because the magnitude requires actuarial validation against the specific demographic and institutional mix of the platform's eighteen-million-student steady state.</w:t>
      </w:r>
    </w:p>
    <w:p>
      <w:r>
        <w:t>Cost-range uncertainty band: the 180-to-250 billion dollar annual range represents a central planning estimate at expanded-access steady state, not a 95-percent confidence interval. Three principal sources of uncertainty drive the actual cost distribution. First, workforce capacity: the expanded-access steady state assumes that institutional capacity (faculty, counselor pipeline, facility infrastructure) scales to support 18 million students; if actual workforce capacity lags the demand-side expansion by even one to two years, the realized cost during that transition will be 10-15 percent below central estimate (because students cannot be served at the scale the cost model assumes). Second, regional cost variation: cost-based pricing differs substantially across regions and institution types. The central estimate uses a national average; actual costs distributed by region range from approximately 80 percent of central (in lower-cost regions and at lower-cost institution types) to approximately 130 percent of central (in higher-cost metropolitan areas and at research-intensive doctoral institutions). Third, the completion-rate improvement assumption: the central estimate assumes the student-support architecture improves four-year completion rates from approximately 60 percent to approximately 75 percent. The empirical literature supports completion-rate improvement of this magnitude under intensive-support interventions (CUNY ASAP achieves comparable gains; research-university dedicated-support programs show similar effects), but the variance across implementation quality is wide. If completion-rate improvement is only half the central assumption, net cost (gross minus completion-related savings) is approximately 10-15 percent higher than the central estimate. Combining the three sources of uncertainty under reasonable independence assumptions, a 95-percent confidence interval for the Pillar Three annual commitment at steady state is approximately 140-to-310 billion dollars, about 50 percent wider than the central planning range. The platform's honest position: the 180-to-250 range is the appropriate range for budgetary commitment and fiscal planning; the wider 140-to-310 range is the appropriate range for stress-testing the Sovereign Fund return scenario and for evaluating whether the fund's expected-returns capacity is adequate across the realistic uncertainty distribution. Under the conservative 4 percent real return scenario (per Pillar 1 sensitivity analysis added in v3.7.228), the Sovereign Fund's expected returns at year-30 steady state are approximately $3.3 trillion annually [RESTATED v3.8.348 from $2.3 trillion: 04_Combined_Reform_Model gives a year-30 return of $3.3 trillion on the current design], comfortably exceeding even the upper bound of the wider Pillar Three uncertainty range. Cost-range uncertainty band added in v3.7.229 to close Pillar 3 Finding 4 from the v3.7.207 SITE-36 review.</w:t>
      </w:r>
    </w:p>
    <w:p>
      <w:r>
        <w:t>International students scope: the Sovereign Education Fund commitments described in Pillar Three apply to United States citizens and lawful permanent residents only. International students enrolled at US institutions on F-1 student visas, J-1 exchange visitor visas, or other non-immigrant student statuses are not within Pillar Three's funding scope. Specifically: cost-based pricing tuition subsidies, federal student-support intervention infrastructure access, doctoral stipend support, and completion-rate improvement programs are available to US citizens and lawful permanent residents. International students continue to enroll on tuition-bearing terms set by institutions, which institutions may continue to cross-subsidize from international tuition revenue toward domestic student costs at their discretion. The rationale for this scope limitation: the Sovereign Education Fund is financed through the Community Contribution Plan and Sovereign Fund accumulation by United States workers and residents; the funded benefits are therefore appropriately scoped to United States citizens and lawful permanent residents. This scope approach mirrors the broader platform pattern of extending universal benefits to lawful permanent residents (whose contribution history includes US employment and US tax payments) while not extending those benefits to non-immigrant visa holders. Institutional discretion is preserved: nothing in Pillar Three restricts institutions from offering scholarships, fee waivers, or other support to international students from non-Pillar-Three sources (institutional reserves, private donors, foundation grants, and similar). The Pillar Three commitments simply do not include international students in the population the fund supports. International students returning to the United States after completing degrees through Optional Practical Training, Curricular Practical Training, employer-sponsored work visas, or transition to lawful permanent resident status enter the standard pathway: from the date of US permanent residence, any subsequent educational enrollment is within Pillar Three scope. International students scope statement added in v3.7.229 to close Pillar 3 Finding 5 from the v3.7.207 SITE-36 review.</w:t>
      </w:r>
    </w:p>
    <w:p>
      <w:pPr>
        <w:pStyle w:val="Heading2"/>
      </w:pPr>
      <w:r>
        <w:t>Connections to Other Pillars</w:t>
      </w:r>
    </w:p>
    <w:p>
      <w:r>
        <w:t>Pillar Three connects to multiple other pillars through shared infrastructure. Pillar Six (Universal Mental Health Access) provides the mental-health counselor delivery infrastructure used in the Student-Support Intervention Architecture; the Education Fund does not pay separately for university mental-health counselors. Pillar Four (Universal Healthcare) handles physical-health interventions when student-support issues are health-related; student health services route through Pillar Four infrastructure. Pillar Eight (Universal Paid Family Time) addresses family-related interruptions to study; a student-parent whose newborn needs them does not have to drop out, and a student whose aging parent needs care can pause without losing the Pillar Three funding window. Pillar Two (Empirical Wage Floors) provides the occupation-specific wage floor that determines doctoral stipend amounts at each geographic location. Pillar One (Community Contribution Plan) provides part of the payroll-based contribution to Pillar Three funding.</w:t>
      </w:r>
    </w:p>
    <w:p>
      <w:r>
        <w:t>The integrated architecture produces support that single-pillar reform could not. A student whose mental-health support is provided by Pillar Six, whose physical-health needs are covered by Pillar Four, whose family-care interruption is covered by Pillar Eight, whose tuition and stipend are covered by Pillar Three, and whose post-graduation work pays at the Pillar Two occupation-specific wage floor: that student experiences a coherent system of supports that no single reform could provide. This integration is one of the strongest arguments for the platform's coherence as twelve pillars rather than twelve separate initiatives.</w:t>
      </w:r>
    </w:p>
    <w:p>
      <w:pPr>
        <w:pStyle w:val="Heading2"/>
      </w:pPr>
      <w:r>
        <w:t>Section 47 Items Added in This Iteration</w:t>
      </w:r>
    </w:p>
    <w:p>
      <w:r>
        <w:t>v3.7.14 adds six entries to the Section 47 tracking table identifying external-expertise needs for Pillar Three:</w:t>
      </w:r>
    </w:p>
    <w:p>
      <w:r>
        <w:t>PERSONA-SIG-10 (curriculum-approval body design): the institutional structure of the curriculum-approval body, the relationship to existing field-specific accreditation bodies, the methodology for defining and updating job fields, and the academic-freedom protections within the framework all require education-policy expertise to specify.</w:t>
      </w:r>
    </w:p>
    <w:p>
      <w:r>
        <w:t>PERSONA-SIG-11 (federal liaison program design): the liaison program's governance, training, deployment, rotation, and authority structure all require federal-program-design expertise. The Cooperative Extension Service is the closest parallel; expertise in that program's institutional design is directly relevant.</w:t>
      </w:r>
    </w:p>
    <w:p>
      <w:r>
        <w:t>PERSONA-SIG-12 (doctoral funding ecosystem transition): the transition from grant-based doctoral funding (RA/TA-funded stipends, project-tied tuition coverage) to Fund-based doctoral funding requires research-grant-ecosystem expertise to design. Federal research-grant agencies (NIH, NSF, DOE, DARPA, USDA) would update their grant frameworks; the transition mechanics matter for research capacity preservation.</w:t>
      </w:r>
    </w:p>
    <w:p>
      <w:r>
        <w:t>RESEARCH-15 (student-support intervention completion-rate improvement validation): the fifteen-to-thirty-percentage-point completion-rate improvement estimate from intensive-support models requires validation against the specific demographic and institutional mix of the platform's eighteen-million-student steady state.</w:t>
      </w:r>
    </w:p>
    <w:p>
      <w:r>
        <w:t>RESEARCH-16 (counselor workforce pipeline buildout): the five-to-seven-year timeline for buildout to one hundred thirty thousand counselor FTE requires workforce-development expertise to validate. Training-program throughput, salary-competitiveness with adjacent careers, and geographic-distribution feasibility all factor in.</w:t>
      </w:r>
    </w:p>
    <w:p>
      <w:r>
        <w:t>RESEARCH-17 (Pillar Three stipend cost projection): the doctoral stipend cost projection at fifteen to twenty billion dollars annually requires actuarial validation, including the geographic distribution of doctoral programs and the occupation-specific wage floors that apply to each location.</w:t>
      </w:r>
    </w:p>
    <w:p>
      <w:pPr>
        <w:pStyle w:val="Heading3"/>
      </w:pPr>
      <w:r>
        <w:t>The Age-Thirty Window Bounds the Liability</w:t>
      </w:r>
    </w:p>
    <w:p>
      <w:r>
        <w:t>The funding window runs from age seventeen to age thirty, with students entering doctoral programs before thirty grandfathered through completion. That boundary is stated across the platform as a policy constraint. ITS ARCHITECTURAL PURPOSE HAS NOT BEEN STATED, AND IT IS THE MORE IMPORTANT OF THE TWO.</w:t>
      </w:r>
    </w:p>
    <w:p>
      <w:r>
        <w:t>A cohort born in year Y becomes eligible in year Y plus seventeen and its claim closes permanently in year Y plus thirty. THIRTEEN YEARS, THEN NOTHING. The fund therefore sizes itself against a CLOSED LIABILITY rather than an open-ended one: every cohort's maximum obligation is known at birth and extinguishes on a known date. A fund facing an unbounded claim cannot be actuarially sized; this one can.</w:t>
      </w:r>
    </w:p>
    <w:p>
      <w:r>
        <w:t>WHAT THE CAP DOES NOT DO IS RECLAIM MONEY. The birth seed is pooled rather than individual — the platform states this explicitly. There is no per-citizen account to close out and no unused balance to return. Under the sixty percent participation assumption roughly two in five citizens never enrol, and THEIR SEEDS ARE ALREADY WORKING: in a pooled fund, unused contributions subsidise users continuously rather than being released at age thirty. The pooling is what makes the arithmetic work, and it is also what makes reclamation meaningless.</w:t>
      </w:r>
    </w:p>
    <w:p>
      <w:r>
        <w:t>The distinction matters because the two read similarly and behave differently. A reclamation mechanism would produce an inflow the fund could count on. THE CAP PRODUCES NO INFLOW. It produces certainty about the size of the outflow, which is what allows the fund to be sized at all.</w:t>
      </w:r>
    </w:p>
    <w:p>
      <w:pPr>
        <w:pStyle w:val="Heading3"/>
      </w:pPr>
      <w:r>
        <w:t>The cap is not binding in the model</w:t>
      </w:r>
    </w:p>
    <w:p>
      <w:r>
        <w:t>The disbursement formula computes cohort size times participation times cost times average duration. NO AGE WINDOW APPEARS IN IT. The average funded duration is approximately three and a half years against a thirteen-year window, so the model's implied utilisation of the window is about twenty-seven percent. A student drawing three and a half years inside thirteen is nowhere near the boundary, and moving the cap would not change the modelled result.</w:t>
      </w:r>
    </w:p>
    <w:p>
      <w:r>
        <w:t>THIS IS NOT A DEFECT, BUT IT IS A GAP BETWEEN POLICY AND MODEL. The cap constrains a tail the model does not represent: students who enrol late, who stop and restart, or who pursue several credentials across a decade. The average-duration assumption absorbs those cases into a single figure rather than tracking them against a deadline. Whether that understates or overstates the obligation is not established here, and no data in the package settles it — the same cohort longitudinal series that would close ASSUM-edu-avg-duration would close this too.</w:t>
      </w:r>
    </w:p>
    <w:p>
      <w:r>
        <w:t>WHAT WOULD CHANGE IF THE CAP WERE MODELLED EXPLICITLY: a cohort's disbursements would be distributed across the thirteen-year window rather than concentrated at entry, which shifts timing without changing totals, and the fund's peak deficit year would move. The totals that drive solvency would not move, because they are set by participation and duration rather than by when within the window the draw occurs.</w:t>
      </w:r>
    </w:p>
    <w:p>
      <w:pPr>
        <w:pStyle w:val="Heading3"/>
      </w:pPr>
      <w:r>
        <w:t>A Three-Part Solution, Proposed Not Adopted</w:t>
      </w:r>
    </w:p>
    <w:p>
      <w:r>
        <w:t>The pillar does not close at current parameters. Three changes together do, measured against the CORRECTED Sovereign Fund balance with education draws netted out.</w:t>
      </w:r>
    </w:p>
    <w:p>
      <w:r>
        <w:t>FIRST, THE DRAW BECOMES DEMAND-DRIVEN. The fund takes what it needs from the Sovereign Fund each year, bounded by the existing three percent governance ceiling, rather than a fixed 1.2 percent of balance. The fixed rate is wrong in both directions: in years nineteen to twenty-nine it yields twenty-five to one hundred billion against a two-hundred-and-five-billion need, and in later years it yields more than education requires. THE DEMAND-DRIVEN RULE DRAWS LESS IN TOTAL — approximately nine trillion dollars across sixty years rather than eighteen.</w:t>
      </w:r>
    </w:p>
    <w:p>
      <w:r>
        <w:t>SECOND, THE ABSORBED FEDERAL AID IS ROUTED IN. The platform already absorbs approximately forty-four billion dollars a year of existing federal education spending. The model does not route it into the fund. This is a correction rather than a new commitment.</w:t>
      </w:r>
    </w:p>
    <w:p>
      <w:r>
        <w:t>THIRD, THE BIRTH SEED RISES TO TEN THOUSAND DOLLARS. That is an increase of eighteen billion dollars a year over the current five thousand, or about one third of one percent of annual gross commitments. IT IS HALF OF WHAT A SEED INCREASE ALONE WOULD REQUIRE, because the other two parts carry most of the load.</w:t>
      </w:r>
    </w:p>
    <w:p>
      <w:r>
        <w:t>Together these produce zero deficit years across sixty. THE THREE ARE NOT INDEPENDENT AND NONE IS SUFFICIENT ALONE: at five thousand the pillar still runs thirteen deficit years, at eight thousand seven.</w:t>
      </w:r>
    </w:p>
    <w:p>
      <w:pPr>
        <w:pStyle w:val="Heading3"/>
      </w:pPr>
      <w:r>
        <w:t>The solution is not robust to one unmeasured input</w:t>
      </w:r>
    </w:p>
    <w:p>
      <w:r>
        <w:t>The three-part solution was tested across the full recorded ranges of the two education inputs that carry real uncertainty: average funded duration, bounded between three and twelve hundredths and three and eighty-three hundredths years, and college participation, bounded between fifty-six and sixty-two percent.</w:t>
      </w:r>
    </w:p>
    <w:p>
      <w:r>
        <w:t>FOUR OF NINE CORNERS FAIL. At the low end of duration the pillar is solvent across the whole participation range. At three and a half years — the value the model uses — it holds at the central and low participation cases and fails at the high one, by five deficit years and twenty billion dollars. At three and eighty-three hundredths years it fails across the entire participation range, by as much as eleven deficit years and one hundred and sixty billion dollars.</w:t>
      </w:r>
    </w:p>
    <w:p>
      <w:r>
        <w:t>DURATION IS THE BINDING UNCERTAINTY AND PARTICIPATION ONLY MODULATES IT. Moving participation across its full range changes the outcome only when duration is already at or above three and a half years.</w:t>
      </w:r>
    </w:p>
    <w:p>
      <w:r>
        <w:t>This matters more than the duration bound first appeared to. It was recorded as a ten percent swing on cost figures. IT IS ALSO THE DIFFERENCE BETWEEN A SOLVENT PILLAR AND AN INSOLVENT ONE at the proposed seed level. A retrieval that looked optional is load-bearing.</w:t>
      </w:r>
    </w:p>
    <w:p>
      <w:r>
        <w:t>AND NO RETRIEVAL AVAILABLE TODAY CLOSES IT. The federal longitudinal study that would measure funded duration has followed its cohort for about two years, and reports that eighty-seven percent have attained no degree — which is what a two-year window on a four-year degree must report. The five-year release would settle it and was not available at retrieval.</w:t>
      </w:r>
    </w:p>
    <w:p>
      <w:r>
        <w:t>The honest statement is therefore narrower than the solution section above implies: THE THREE-PART SOLUTION CLOSES THE PILLAR AT THE PLATFORM'S CENTRAL ASSUMPTIONS AND IS NOT ROBUST ACROSS THE RECORDED UNCERTAINTY. A seed that closes at every corner would be higher than ten thousand dollars. That is recorded rather than adjusted, because adjusting the figure would hide the dependency instead of stating it.</w:t>
      </w:r>
    </w:p>
    <w:p>
      <w:pPr>
        <w:pStyle w:val="Heading3"/>
      </w:pPr>
      <w:r>
        <w:t>What this solution requires to be decided</w:t>
      </w:r>
    </w:p>
    <w:p>
      <w:r>
        <w:t>THE GOVERNANCE CEILING MUST BE READ ONE WAY OR THE OTHER. The governance design enumerates four purposes the Sovereign Fund may serve and the model caps total disbursement at three percent of balance. A demand-driven education draw would consume the entire ceiling for roughly a decade. Whether three percent is an aggregate limit or a per-purpose one is not stated, and the Norway comparison the figure rests on is an aggregate limit on all government drawing.</w:t>
      </w:r>
    </w:p>
    <w:p>
      <w:r>
        <w:t>A SEPARATE OBSERVATION MAY DISSOLVE THAT CONFLICT. The Combined Reform Model implements one of the four enumerated purposes. No cell in it refers to education or to healthcare cross-subsidisation, and the retirement draw reaches zero in year nineteen, after which the entire ceiling is unclaimed within the model. The conflict may be between a document and a model rather than between competing claims on money.</w:t>
      </w:r>
    </w:p>
    <w:p>
      <w:r>
        <w:t>THE THREE PUBLISHED TRANSFER RATES MUST BE RECONCILED REGARDLESS. The model's own README states one half of one percent, this substantiation states approximately one percent, and the spreadsheet uses one and two tenths percent. None carries a citation. Whatever is decided about the draw instrument, the platform currently contradicts itself in print on this point.</w:t>
      </w:r>
    </w:p>
    <w:p>
      <w:r>
        <w:t>NOTHING HERE IS ADOPTED. The figures are recorded so the decision can be made against numbers. The seed level in particular is a policy commitment about what the platform gives at birth, and a solvency calculation is not an argument for it.</w:t>
      </w:r>
    </w:p>
    <w:p>
      <w:pPr>
        <w:pStyle w:val="Heading2"/>
      </w:pPr>
      <w:r>
        <w:t>Honest Acknowledgments</w:t>
      </w:r>
    </w:p>
    <w:p>
      <w:r>
        <w:t>This section was absent from this pillar's substantiation until v3.8.203, while other pillars carried one. Its absence is itself recorded here: the question below had nowhere to appear in this document, and so it did not appear.</w:t>
      </w:r>
    </w:p>
    <w:p>
      <w:pPr>
        <w:pStyle w:val="Heading3"/>
      </w:pPr>
      <w:r>
        <w:t>The Transition Cohorts: Years One Through Seventeen</w:t>
      </w:r>
    </w:p>
    <w:p>
      <w:r>
        <w:t>The Sovereign Education Fund seeds five thousand dollars at birth and makes its first disbursement at year eighteen, when the first seeded cohort reaches college age. Everyone who reaches college age in years one through seventeen contributes to the platform from year one and receives nothing from this pillar. That is roughly eighteen cohorts paying the full Pillar One contribution while the fund they are capitalising is closed to them.</w:t>
      </w:r>
    </w:p>
    <w:p>
      <w:r>
        <w:t>THIS IS A FAIRNESS GAP BY THE PLATFORM'S OWN STANDARD. The platform's aim is that no one sacrifices more than their share. These cohorts sacrifice at the full rate and receive the pre-platform benefit level. The gap the platform exists to close appears inside the platform's own transition.</w:t>
      </w:r>
    </w:p>
    <w:p>
      <w:pPr>
        <w:pStyle w:val="Heading3"/>
      </w:pPr>
      <w:r>
        <w:t>What already exists, and what it does not cover</w:t>
      </w:r>
    </w:p>
    <w:p>
      <w:r>
        <w:t>05_Repairing_The_Past.docx establishes both the principle and the capacity, committing Sovereign Fund surplus to retroactive obligation: student loan retirement 'does not require additional contribution rates or new revenue streams. It requires deciding to direct some portion of the fund's growing surplus toward retroactive obligation. The capacity exists. The question is policy.'</w:t>
      </w:r>
    </w:p>
    <w:p>
      <w:r>
        <w:t>But that document addresses the PRE-PLATFORM STOCK of debt — people who borrowed before enactment. The transition cohorts are a different population. They have not borrowed yet, and they will accumulate debt UNDER the platform, not before it. No document in the package covered them before this section.</w:t>
      </w:r>
    </w:p>
    <w:p>
      <w:pPr>
        <w:pStyle w:val="Heading3"/>
      </w:pPr>
      <w:r>
        <w:t>The constraint is timing, and it is documented</w:t>
      </w:r>
    </w:p>
    <w:p>
      <w:r>
        <w:t>The surplus arrives after the cohorts need it. [RESTATED v3.8.348. This paragraph quoted 05_Repairing_The_Past.docx -- disbursements of $66 billion at year ten, $130 billion by year fifteen, a quarter trillion by year twenty, and a fund of about $400 billion by year eighteen. THOSE FIGURES ARE RETIRED and that document now carries a revision notice. On the current design, with Social Security absorbed into the Sovereign Fund, the fund holds about $17.5 trillion at year ten, $26.3 trillion at year fifteen and $31.4 trillion at year eighteen, so a 1.2 percent draw is about $210 billion, $316 billion and $377 billion respectively. THE SCALE ARGUMENT THIS PARAGRAPH MADE NO LONGER HOLDS. What does hold is the timing constraint stated above, which is about mechanics rather than money: the fund cannot pay out for a cohort it never seeded, so the transition cohorts of years one to seventeen need the tapered cover decided at v3.8.342, not a larger fund.]</w:t>
      </w:r>
    </w:p>
    <w:p>
      <w:r>
        <w:t>So the question is not whether to cover these cohorts. It is what pays in years one through seventeen, when the fund is accumulating and has no surplus to direct.</w:t>
      </w:r>
    </w:p>
    <w:p>
      <w:pPr>
        <w:pStyle w:val="Heading3"/>
      </w:pPr>
      <w:r>
        <w:t>The cost, measured</w:t>
      </w:r>
    </w:p>
    <w:p>
      <w:r>
        <w:t>The enrolled student body at the platform's cost-based pricing costs $161.2 billion a year, per 04_Education_Fund_Cost_Based_Pricing_Model.xlsx. CORRECTED v3.8.204: this sentence previously described that figure as ONE COHORT of 2,160,000 students at $21,472. That product is $46.4 billion, not $161.2 billion. The model funds four years per student, so in a steady year roughly four cohorts are enrolled simultaneously, and $161.2 billion is the cost of all of them. The annual figure and every number derived from it below are unchanged and correct; only the description was wrong. The platform already absorbs $44.4 billion a year of existing federal education aid, which those cohorts receive today. THE INCREMENTAL COST OF FULL COVERAGE IS THEREFORE $116.8 BILLION A YEAR, not $161.2 billion.</w:t>
      </w:r>
    </w:p>
    <w:p>
      <w:r>
        <w:t>A ramped partial coverage, rising as the fund grows, costs substantially less: 25 percent of the incremental cost in years one to six ($29.2 billion a year), 50 percent in years seven to twelve ($58.4 billion a year), and 75 percent in years thirteen to seventeen ($87.6 billion a year). TOTAL INCREMENTAL COST OVER SEVENTEEN YEARS: $0.96 TRILLION. Flat full coverage for comparison would be $1.99 trillion.</w:t>
      </w:r>
    </w:p>
    <w:p>
      <w:r>
        <w:t>For scale, $0.96 trillion spread across seventeen years is approximately 1.13 percent of the platform's annual gross commitments. It is not a rounding error and it is not a structural obstacle.</w:t>
      </w:r>
    </w:p>
    <w:p>
      <w:pPr>
        <w:pStyle w:val="Heading3"/>
      </w:pPr>
      <w:r>
        <w:t>A blended approach that is not adopted</w:t>
      </w:r>
    </w:p>
    <w:p>
      <w:r>
        <w:t>The ramp above combines two ideas. The coverage level honours the principle that contribution and benefit should track each other, rising as the cohorts' own contributions accumulate. The timing defers the heaviest cost to the years when the fund is strongest, so the burden in years one through six — when the fund has least — is $29.2 billion a year rather than $116.8 billion.</w:t>
      </w:r>
    </w:p>
    <w:p>
      <w:r>
        <w:t>This is an investment in the cohorts who capitalise the fund and would otherwise be the only Americans to pay for it without using it.</w:t>
      </w:r>
    </w:p>
    <w:p>
      <w:r>
        <w:t>NONE OF THESE VALUES IS ADOPTED. The ramp shape (25/50/75), its breakpoints, and whether coverage is delivered as direct funding or as retroactive debt retirement are policy decisions this substantiation does not make. The cost figures are computed from the platform's own model inputs and are offered so the decision can be made against a number rather than an impression.</w:t>
      </w:r>
    </w:p>
    <w:p>
      <w:pPr>
        <w:pStyle w:val="Heading3"/>
      </w:pPr>
      <w:r>
        <w:t>What this substantiation does not settle</w:t>
      </w:r>
    </w:p>
    <w:p>
      <w:r>
        <w:t>Whether the transition cohorts are covered at all, and by which mechanism. Whether a ramp changes the fund's accumulation trajectory enough to move year eighteen, which this section does not model. Whether the Pillar One education allocation should instead be phased for cohorts that cannot yet draw on the fund — an option that most directly honours the fairness principle and most weakens the year-eighteen position, because it reduces the seed accumulation that makes year eighteen work. That tension between the principle and the mechanism is the honest content of this question.</w:t>
      </w:r>
    </w:p>
    <w:p>
      <w:pPr>
        <w:pStyle w:val="Heading3"/>
      </w:pPr>
      <w:r>
        <w:t>The Pillar Does Not Currently Fund Itself</w:t>
      </w:r>
    </w:p>
    <w:p>
      <w:r>
        <w:t>An earlier release recorded that this pillar closes on sourced inputs across all sixty years with zero deficit years. THAT RESULT WAS COMPUTED WITH A CEILING VALUE BINDING, and it does not survive correction.</w:t>
      </w:r>
    </w:p>
    <w:p>
      <w:r>
        <w:t>The model sizes the fund on an average lifetime draw per student. That figure was $60,000, a number that began as a PER-STUDENT CAP under an earlier design. When the pillar adopted its no-cap architecture the cap was relabelled a population average — but the value was never recalculated. As an average it implied about $17,143 a year against the platform's own sourced cost of $21,472 per student per year.</w:t>
      </w:r>
    </w:p>
    <w:p>
      <w:r>
        <w:t>Corrected at v3.8.206, the figure is calculated rather than typed: the sourced cost per student times the average number of years funded, or approximately $75,152. THAT IS 25.3 PERCENT HIGHER, AND IT CHANGES THE ANSWER.</w:t>
      </w:r>
    </w:p>
    <w:p>
      <w:r>
        <w:t>The Sovereign Education Fund's solvency turns on the draw rate, and FIG-education-fund-solvency records it as a scenario rather than a single answer: 29 deficit years of sixty at a 1.2 percent transfer, 14 at 2.0 percent, 6 at 2.5 percent and NONE at 3.0 percent. [RESTATED v3.8.348: this read 'a deficit in 34 of its first 60 years, worst case approximately $3.3 trillion, before recovering to roughly $6.0 trillion by year sixty', stating one unregistered case as the answer.] It previously showed no deficit years at all.</w:t>
      </w:r>
    </w:p>
    <w:p>
      <w:r>
        <w:t>THIS IS STATED RATHER THAN RESOLVED. The lever thresholds were recomputed at v3.8.207. NO SINGLE LEVER CLOSES THE PILLAR WITHIN THE PLATFORM'S OWN RULES: the retirement-fund transfer would need 4.30 percent against a 3.0 percent governance ceiling on all draws combined; the birth seed would need $24,500, about two and a half times the current $10,000 [RESTATED v3.8.348: this read 'nearly five times the current $5,000'. The thresholds in this paragraph were computed at v3.8.207 against the old $5,000 seed, so every multiplier in it is now halved -- and the 'doubled birth seed of $10,000' named below as a lever IS the seed the platform now uses]; delivered costs would need to fall 58 percent, far beyond what cost-based pricing claims. TWO LEVERS TOGETHER DO CLOSE IT, WITHIN THE CEILING. At the 3.0 percent maximum draw, the pillar is solvent across all sixty years with either a doubled birth seed of $10,000 or a 20 percent reduction in delivered cost. Below the ceiling, a 2.5 percent transfer closes with a 2.5-times seed or a 30 percent cost reduction. NONE OF THESE COMBINATIONS IS ADOPTED. They are recorded so the choice can be made against numbers. The earlier RESEARCH-35 sweep published a 3.69 percent transfer, a $12,452 seed and a 42 percent cost reduction; THOSE FIGURES DO NOT REPRODUCE on the shipped workbook at either the old or the corrected value, and are superseded rather than corrected.</w:t>
      </w:r>
    </w:p>
    <w:p>
      <w:r>
        <w:t>The correction is recorded here because a pillar that closes on a number inherited from a renounced design is not closing on its own inputs, and the platform's standard is that a figure with a source beats a figure with a history.</w:t>
      </w:r>
    </w:p>
    <w:p>
      <w:pPr>
        <w:pStyle w:val="Heading2"/>
      </w:pPr>
      <w:r>
        <w:t>Closing</w:t>
      </w:r>
    </w:p>
    <w:p>
      <w:r>
        <w:t>Pillar Three's expanded architecture in v3.7.14 makes education welcomed and encouraged, not limited. The architectural commitment removes per-person caps on fields and credentials pursued; extends coverage to doctoral tuition and living stipends; builds curriculum approval around job-field-backward design with general-education preservation; codifies credit transfer with substance test; commits the institution to attempt intervention when students struggle; establishes federal liaisons on campus to preserve cross-institutional consistency; and builds out the counselor workforce required to deliver the support architecture at scale. Total cost: approximately one hundred eighty to two hundred fifty billion dollars annually at steady state, with substantial recovery through completion-rate improvement. Financially feasible; substantively coherent with the rest of the platform's twelve pillars.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